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881" w:rsidRDefault="00D44881">
      <w:pPr>
        <w:rPr>
          <w:rFonts w:asciiTheme="majorHAnsi" w:hAnsiTheme="majorHAnsi"/>
          <w:sz w:val="24"/>
          <w:szCs w:val="24"/>
        </w:rPr>
      </w:pPr>
    </w:p>
    <w:p w:rsidR="00BA7520" w:rsidRDefault="00BA7520" w:rsidP="006F2E3A">
      <w:pPr>
        <w:jc w:val="center"/>
        <w:rPr>
          <w:rFonts w:asciiTheme="majorHAnsi" w:hAnsiTheme="majorHAnsi"/>
          <w:b/>
          <w:bCs/>
          <w:sz w:val="28"/>
          <w:szCs w:val="28"/>
          <w:u w:val="single"/>
        </w:rPr>
      </w:pPr>
      <w:r w:rsidRPr="00A414FD">
        <w:rPr>
          <w:rFonts w:cs="Arial"/>
          <w:noProof/>
          <w:szCs w:val="18"/>
        </w:rPr>
        <w:drawing>
          <wp:inline distT="0" distB="0" distL="0" distR="0" wp14:anchorId="75C49EF9" wp14:editId="1313B709">
            <wp:extent cx="1759416" cy="1149292"/>
            <wp:effectExtent l="19050" t="0" r="0" b="0"/>
            <wp:docPr id="1" name="Picture 1" descr="C:\Users\IBM\Desktop\T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BM\Desktop\TCC Logo.JPG"/>
                    <pic:cNvPicPr>
                      <a:picLocks noChangeAspect="1" noChangeArrowheads="1"/>
                    </pic:cNvPicPr>
                  </pic:nvPicPr>
                  <pic:blipFill>
                    <a:blip r:embed="rId5"/>
                    <a:srcRect/>
                    <a:stretch>
                      <a:fillRect/>
                    </a:stretch>
                  </pic:blipFill>
                  <pic:spPr bwMode="auto">
                    <a:xfrm>
                      <a:off x="0" y="0"/>
                      <a:ext cx="1764522" cy="1152627"/>
                    </a:xfrm>
                    <a:prstGeom prst="rect">
                      <a:avLst/>
                    </a:prstGeom>
                    <a:noFill/>
                    <a:ln w="9525">
                      <a:noFill/>
                      <a:miter lim="800000"/>
                      <a:headEnd/>
                      <a:tailEnd/>
                    </a:ln>
                  </pic:spPr>
                </pic:pic>
              </a:graphicData>
            </a:graphic>
          </wp:inline>
        </w:drawing>
      </w:r>
    </w:p>
    <w:p w:rsidR="006F2E3A" w:rsidRDefault="006F2E3A" w:rsidP="006F2E3A">
      <w:pPr>
        <w:jc w:val="center"/>
        <w:rPr>
          <w:rFonts w:asciiTheme="majorHAnsi" w:hAnsiTheme="majorHAnsi"/>
          <w:b/>
          <w:bCs/>
          <w:sz w:val="28"/>
          <w:szCs w:val="28"/>
          <w:u w:val="single"/>
        </w:rPr>
      </w:pPr>
      <w:r>
        <w:rPr>
          <w:rFonts w:asciiTheme="majorHAnsi" w:hAnsiTheme="majorHAnsi"/>
          <w:b/>
          <w:bCs/>
          <w:sz w:val="28"/>
          <w:szCs w:val="28"/>
          <w:u w:val="single"/>
        </w:rPr>
        <w:t>Human Rights</w:t>
      </w:r>
      <w:r w:rsidR="00C82A0B">
        <w:rPr>
          <w:rFonts w:asciiTheme="majorHAnsi" w:hAnsiTheme="majorHAnsi"/>
          <w:b/>
          <w:bCs/>
          <w:sz w:val="28"/>
          <w:szCs w:val="28"/>
          <w:u w:val="single"/>
        </w:rPr>
        <w:t xml:space="preserve"> &amp; IHL Program</w:t>
      </w:r>
      <w:bookmarkStart w:id="0" w:name="_GoBack"/>
      <w:bookmarkEnd w:id="0"/>
    </w:p>
    <w:p w:rsidR="006F2E3A" w:rsidRDefault="006F2E3A" w:rsidP="006F2E3A">
      <w:pPr>
        <w:jc w:val="center"/>
        <w:rPr>
          <w:rFonts w:asciiTheme="majorHAnsi" w:hAnsiTheme="majorHAnsi"/>
          <w:b/>
          <w:bCs/>
          <w:sz w:val="28"/>
          <w:szCs w:val="28"/>
          <w:u w:val="single"/>
        </w:rPr>
      </w:pPr>
      <w:r>
        <w:rPr>
          <w:rFonts w:asciiTheme="majorHAnsi" w:hAnsiTheme="majorHAnsi"/>
          <w:b/>
          <w:bCs/>
          <w:sz w:val="28"/>
          <w:szCs w:val="28"/>
          <w:u w:val="single"/>
        </w:rPr>
        <w:t xml:space="preserve">Success Story </w:t>
      </w:r>
    </w:p>
    <w:p w:rsidR="006F2E3A" w:rsidRDefault="006F2E3A" w:rsidP="006F2E3A">
      <w:pPr>
        <w:jc w:val="center"/>
        <w:rPr>
          <w:rFonts w:asciiTheme="majorHAnsi" w:hAnsiTheme="majorHAnsi"/>
          <w:b/>
          <w:bCs/>
          <w:sz w:val="28"/>
          <w:szCs w:val="28"/>
          <w:u w:val="single"/>
        </w:rPr>
      </w:pPr>
      <w:r>
        <w:rPr>
          <w:rFonts w:asciiTheme="majorHAnsi" w:hAnsiTheme="majorHAnsi"/>
          <w:b/>
          <w:bCs/>
          <w:sz w:val="28"/>
          <w:szCs w:val="28"/>
          <w:u w:val="single"/>
        </w:rPr>
        <w:t>Project title:</w:t>
      </w:r>
    </w:p>
    <w:p w:rsidR="006F2E3A" w:rsidRDefault="006F2E3A" w:rsidP="006F2E3A">
      <w:pPr>
        <w:jc w:val="center"/>
        <w:rPr>
          <w:rFonts w:asciiTheme="majorHAnsi" w:hAnsiTheme="majorHAnsi"/>
          <w:b/>
          <w:bCs/>
          <w:sz w:val="28"/>
          <w:szCs w:val="28"/>
          <w:u w:val="single"/>
        </w:rPr>
      </w:pPr>
      <w:r>
        <w:rPr>
          <w:rFonts w:asciiTheme="majorHAnsi" w:hAnsiTheme="majorHAnsi"/>
          <w:b/>
          <w:bCs/>
          <w:sz w:val="28"/>
          <w:szCs w:val="28"/>
          <w:u w:val="single"/>
        </w:rPr>
        <w:t>Elevator to serve girls with disabilities in Nur Shams’ Primary Girls School</w:t>
      </w:r>
    </w:p>
    <w:p w:rsidR="006F2E3A" w:rsidRDefault="006F2E3A" w:rsidP="006F2E3A">
      <w:pPr>
        <w:jc w:val="center"/>
        <w:rPr>
          <w:rFonts w:asciiTheme="majorHAnsi" w:hAnsiTheme="majorHAnsi"/>
          <w:b/>
          <w:bCs/>
          <w:sz w:val="28"/>
          <w:szCs w:val="28"/>
          <w:u w:val="single"/>
        </w:rPr>
      </w:pPr>
      <w:r>
        <w:rPr>
          <w:rFonts w:asciiTheme="majorHAnsi" w:hAnsiTheme="majorHAnsi"/>
          <w:b/>
          <w:bCs/>
          <w:sz w:val="28"/>
          <w:szCs w:val="28"/>
          <w:u w:val="single"/>
        </w:rPr>
        <w:t>Nur Shams Refugee Camp</w:t>
      </w:r>
    </w:p>
    <w:p w:rsidR="006F2E3A" w:rsidRPr="00332EAA" w:rsidRDefault="006F2E3A" w:rsidP="00332EAA">
      <w:pPr>
        <w:jc w:val="center"/>
        <w:rPr>
          <w:rFonts w:asciiTheme="majorHAnsi" w:hAnsiTheme="majorHAnsi"/>
          <w:b/>
          <w:bCs/>
          <w:sz w:val="28"/>
          <w:szCs w:val="28"/>
          <w:u w:val="single"/>
        </w:rPr>
      </w:pPr>
      <w:r>
        <w:rPr>
          <w:rFonts w:asciiTheme="majorHAnsi" w:hAnsiTheme="majorHAnsi"/>
          <w:b/>
          <w:bCs/>
          <w:sz w:val="28"/>
          <w:szCs w:val="28"/>
          <w:u w:val="single"/>
        </w:rPr>
        <w:t>2012</w:t>
      </w:r>
    </w:p>
    <w:p w:rsidR="00084369" w:rsidRDefault="00084369" w:rsidP="00FF55B7">
      <w:pPr>
        <w:jc w:val="lowKashida"/>
        <w:rPr>
          <w:rFonts w:asciiTheme="majorHAnsi" w:hAnsiTheme="majorHAnsi"/>
          <w:sz w:val="24"/>
          <w:szCs w:val="24"/>
        </w:rPr>
      </w:pPr>
      <w:r>
        <w:rPr>
          <w:rFonts w:asciiTheme="majorHAnsi" w:hAnsiTheme="majorHAnsi"/>
          <w:sz w:val="24"/>
          <w:szCs w:val="24"/>
        </w:rPr>
        <w:t xml:space="preserve">Nur Shams is a Palestinian refugee camp located three kilometers to the east of Tulkarem city- Tulkarem district- in the northern West Bank. According to the Palestinian Central Bureau of Statistics’ census, the camp had a population of 6479 inhabitants in 2007. Nearly 95% of the camp’s inhabitants are refugees. </w:t>
      </w:r>
      <w:r w:rsidR="00F5045B">
        <w:rPr>
          <w:rFonts w:asciiTheme="majorHAnsi" w:hAnsiTheme="majorHAnsi"/>
          <w:sz w:val="24"/>
          <w:szCs w:val="24"/>
        </w:rPr>
        <w:t xml:space="preserve">Nur Shams was established following Al-Nakba in 1952 on an area of 226 Dunums.  In 1998, after the signing of Wye River Memorandum between the PLO and the Israeli government, the camp was transferred to the full control of the Palestinian National Authority. </w:t>
      </w:r>
      <w:r w:rsidR="004C3D95">
        <w:rPr>
          <w:rFonts w:asciiTheme="majorHAnsi" w:hAnsiTheme="majorHAnsi"/>
          <w:sz w:val="24"/>
          <w:szCs w:val="24"/>
        </w:rPr>
        <w:t xml:space="preserve">The camp has two </w:t>
      </w:r>
      <w:r w:rsidR="002C12BD">
        <w:rPr>
          <w:rFonts w:asciiTheme="majorHAnsi" w:hAnsiTheme="majorHAnsi"/>
          <w:sz w:val="24"/>
          <w:szCs w:val="24"/>
        </w:rPr>
        <w:t xml:space="preserve">UNRWA </w:t>
      </w:r>
      <w:r w:rsidR="004C3D95">
        <w:rPr>
          <w:rFonts w:asciiTheme="majorHAnsi" w:hAnsiTheme="majorHAnsi"/>
          <w:sz w:val="24"/>
          <w:szCs w:val="24"/>
        </w:rPr>
        <w:t>elementary schools “One for boys and the other for girls” and one health center</w:t>
      </w:r>
      <w:r w:rsidR="002C12BD">
        <w:rPr>
          <w:rFonts w:asciiTheme="majorHAnsi" w:hAnsiTheme="majorHAnsi"/>
          <w:sz w:val="24"/>
          <w:szCs w:val="24"/>
        </w:rPr>
        <w:t xml:space="preserve"> run by UNRWA as well</w:t>
      </w:r>
      <w:r w:rsidR="004C3D95">
        <w:rPr>
          <w:rFonts w:asciiTheme="majorHAnsi" w:hAnsiTheme="majorHAnsi"/>
          <w:sz w:val="24"/>
          <w:szCs w:val="24"/>
        </w:rPr>
        <w:t xml:space="preserve">. </w:t>
      </w:r>
      <w:r w:rsidR="00910AE8">
        <w:rPr>
          <w:rFonts w:asciiTheme="majorHAnsi" w:hAnsiTheme="majorHAnsi"/>
          <w:sz w:val="24"/>
          <w:szCs w:val="24"/>
        </w:rPr>
        <w:t>It’</w:t>
      </w:r>
      <w:r w:rsidR="00B259BE">
        <w:rPr>
          <w:rFonts w:asciiTheme="majorHAnsi" w:hAnsiTheme="majorHAnsi"/>
          <w:sz w:val="24"/>
          <w:szCs w:val="24"/>
        </w:rPr>
        <w:t>s worth</w:t>
      </w:r>
      <w:r w:rsidR="00910AE8">
        <w:rPr>
          <w:rFonts w:asciiTheme="majorHAnsi" w:hAnsiTheme="majorHAnsi"/>
          <w:sz w:val="24"/>
          <w:szCs w:val="24"/>
        </w:rPr>
        <w:t xml:space="preserve"> noting that the two schools in the camp are still in poor conditions and are listed on UNRWA’s agenda for replacement once the needed funds are secured.  </w:t>
      </w:r>
      <w:r w:rsidR="00445A34">
        <w:rPr>
          <w:rFonts w:asciiTheme="majorHAnsi" w:hAnsiTheme="majorHAnsi"/>
          <w:sz w:val="24"/>
          <w:szCs w:val="24"/>
        </w:rPr>
        <w:t xml:space="preserve">Similar to other Palestinian refugee camps, </w:t>
      </w:r>
      <w:r w:rsidR="004F4230">
        <w:rPr>
          <w:rFonts w:asciiTheme="majorHAnsi" w:hAnsiTheme="majorHAnsi"/>
          <w:sz w:val="24"/>
          <w:szCs w:val="24"/>
        </w:rPr>
        <w:t xml:space="preserve">the inhabitants of </w:t>
      </w:r>
      <w:r w:rsidR="00445A34">
        <w:rPr>
          <w:rFonts w:asciiTheme="majorHAnsi" w:hAnsiTheme="majorHAnsi"/>
          <w:sz w:val="24"/>
          <w:szCs w:val="24"/>
        </w:rPr>
        <w:t>Nur Shams</w:t>
      </w:r>
      <w:r w:rsidR="004F4230">
        <w:rPr>
          <w:rFonts w:asciiTheme="majorHAnsi" w:hAnsiTheme="majorHAnsi"/>
          <w:sz w:val="24"/>
          <w:szCs w:val="24"/>
        </w:rPr>
        <w:t xml:space="preserve"> experience very miserable HRs conditions and lack access to basic services and infrastructures including drinking water and sewage networks. The camp has also suffered from both the widespread of disabilities “3.8% according to the narrow definition” and the social exclusion of persons with disabilities.</w:t>
      </w:r>
      <w:r w:rsidR="00BF3EB1">
        <w:rPr>
          <w:rFonts w:asciiTheme="majorHAnsi" w:hAnsiTheme="majorHAnsi"/>
          <w:sz w:val="24"/>
          <w:szCs w:val="24"/>
        </w:rPr>
        <w:t xml:space="preserve"> In 2012, Nur Shams’ Primary Girls School, which included 8 mobility disabilities in that year</w:t>
      </w:r>
      <w:r w:rsidR="0022707C">
        <w:rPr>
          <w:rFonts w:asciiTheme="majorHAnsi" w:hAnsiTheme="majorHAnsi"/>
          <w:sz w:val="24"/>
          <w:szCs w:val="24"/>
        </w:rPr>
        <w:t>, took</w:t>
      </w:r>
      <w:r w:rsidR="00BF3EB1">
        <w:rPr>
          <w:rFonts w:asciiTheme="majorHAnsi" w:hAnsiTheme="majorHAnsi"/>
          <w:sz w:val="24"/>
          <w:szCs w:val="24"/>
        </w:rPr>
        <w:t xml:space="preserve"> part in TCC’s </w:t>
      </w:r>
      <w:r w:rsidR="007C336F">
        <w:rPr>
          <w:rFonts w:asciiTheme="majorHAnsi" w:hAnsiTheme="majorHAnsi"/>
          <w:sz w:val="24"/>
          <w:szCs w:val="24"/>
        </w:rPr>
        <w:t>HRs &amp; IHL program</w:t>
      </w:r>
      <w:r w:rsidR="00BF3EB1">
        <w:rPr>
          <w:rFonts w:asciiTheme="majorHAnsi" w:hAnsiTheme="majorHAnsi"/>
          <w:sz w:val="24"/>
          <w:szCs w:val="24"/>
        </w:rPr>
        <w:t>. 32 girl students from the 8</w:t>
      </w:r>
      <w:r w:rsidR="00BF3EB1" w:rsidRPr="00BF3EB1">
        <w:rPr>
          <w:rFonts w:asciiTheme="majorHAnsi" w:hAnsiTheme="majorHAnsi"/>
          <w:sz w:val="24"/>
          <w:szCs w:val="24"/>
          <w:vertAlign w:val="superscript"/>
        </w:rPr>
        <w:t>th</w:t>
      </w:r>
      <w:r w:rsidR="00BF3EB1">
        <w:rPr>
          <w:rFonts w:asciiTheme="majorHAnsi" w:hAnsiTheme="majorHAnsi"/>
          <w:sz w:val="24"/>
          <w:szCs w:val="24"/>
        </w:rPr>
        <w:t xml:space="preserve"> grade were trained </w:t>
      </w:r>
      <w:r w:rsidR="007C336F">
        <w:rPr>
          <w:rFonts w:asciiTheme="majorHAnsi" w:hAnsiTheme="majorHAnsi"/>
          <w:sz w:val="24"/>
          <w:szCs w:val="24"/>
        </w:rPr>
        <w:t>on the HRs Civic Link technique, a technique</w:t>
      </w:r>
      <w:r w:rsidR="00BF3EB1">
        <w:rPr>
          <w:rFonts w:asciiTheme="majorHAnsi" w:hAnsiTheme="majorHAnsi"/>
          <w:sz w:val="24"/>
          <w:szCs w:val="24"/>
        </w:rPr>
        <w:t xml:space="preserve"> applied by </w:t>
      </w:r>
      <w:r w:rsidR="00B279D1">
        <w:rPr>
          <w:rFonts w:asciiTheme="majorHAnsi" w:hAnsiTheme="majorHAnsi"/>
          <w:sz w:val="24"/>
          <w:szCs w:val="24"/>
        </w:rPr>
        <w:t>TCC with</w:t>
      </w:r>
      <w:r w:rsidR="007C336F">
        <w:rPr>
          <w:rFonts w:asciiTheme="majorHAnsi" w:hAnsiTheme="majorHAnsi"/>
          <w:sz w:val="24"/>
          <w:szCs w:val="24"/>
        </w:rPr>
        <w:t xml:space="preserve"> school children and youth </w:t>
      </w:r>
      <w:r w:rsidR="00BF3EB1">
        <w:rPr>
          <w:rFonts w:asciiTheme="majorHAnsi" w:hAnsiTheme="majorHAnsi"/>
          <w:sz w:val="24"/>
          <w:szCs w:val="24"/>
        </w:rPr>
        <w:t xml:space="preserve">to reduce the prevalence of HRs violations in Palestinian neighborhoods. Following the training, the 32 students started to list and </w:t>
      </w:r>
      <w:r w:rsidR="00585B77">
        <w:rPr>
          <w:rFonts w:asciiTheme="majorHAnsi" w:hAnsiTheme="majorHAnsi"/>
          <w:sz w:val="24"/>
          <w:szCs w:val="24"/>
        </w:rPr>
        <w:t xml:space="preserve">document the various violations of the Human Rights </w:t>
      </w:r>
      <w:r w:rsidR="00474DC7">
        <w:rPr>
          <w:rFonts w:asciiTheme="majorHAnsi" w:hAnsiTheme="majorHAnsi"/>
          <w:sz w:val="24"/>
          <w:szCs w:val="24"/>
        </w:rPr>
        <w:t>of girls with disabilities at their school</w:t>
      </w:r>
      <w:r w:rsidR="00585B77">
        <w:rPr>
          <w:rFonts w:asciiTheme="majorHAnsi" w:hAnsiTheme="majorHAnsi"/>
          <w:sz w:val="24"/>
          <w:szCs w:val="24"/>
        </w:rPr>
        <w:t xml:space="preserve"> based on </w:t>
      </w:r>
      <w:r w:rsidR="00D93513">
        <w:rPr>
          <w:rFonts w:asciiTheme="majorHAnsi" w:hAnsiTheme="majorHAnsi"/>
          <w:sz w:val="24"/>
          <w:szCs w:val="24"/>
        </w:rPr>
        <w:lastRenderedPageBreak/>
        <w:t>various treaties under the</w:t>
      </w:r>
      <w:r w:rsidR="00585B77">
        <w:rPr>
          <w:rFonts w:asciiTheme="majorHAnsi" w:hAnsiTheme="majorHAnsi"/>
          <w:sz w:val="24"/>
          <w:szCs w:val="24"/>
        </w:rPr>
        <w:t xml:space="preserve"> IHRL including</w:t>
      </w:r>
      <w:r w:rsidR="00D93513">
        <w:rPr>
          <w:rFonts w:asciiTheme="majorHAnsi" w:hAnsiTheme="majorHAnsi"/>
          <w:sz w:val="24"/>
          <w:szCs w:val="24"/>
        </w:rPr>
        <w:t xml:space="preserve"> the Convection on the Rights of Persons with </w:t>
      </w:r>
      <w:r w:rsidR="00D83D40">
        <w:rPr>
          <w:rFonts w:asciiTheme="majorHAnsi" w:hAnsiTheme="majorHAnsi"/>
          <w:sz w:val="24"/>
          <w:szCs w:val="24"/>
        </w:rPr>
        <w:t xml:space="preserve">Disabilities. </w:t>
      </w:r>
      <w:r w:rsidR="00474DC7">
        <w:rPr>
          <w:rFonts w:asciiTheme="majorHAnsi" w:hAnsiTheme="majorHAnsi"/>
          <w:sz w:val="24"/>
          <w:szCs w:val="24"/>
        </w:rPr>
        <w:t xml:space="preserve">The students selected </w:t>
      </w:r>
      <w:r w:rsidR="00474DC7" w:rsidRPr="005B3D40">
        <w:rPr>
          <w:rFonts w:asciiTheme="majorHAnsi" w:hAnsiTheme="majorHAnsi"/>
          <w:i/>
          <w:iCs/>
          <w:sz w:val="24"/>
          <w:szCs w:val="24"/>
        </w:rPr>
        <w:t xml:space="preserve">“the lack of access of girls with disabilities to fundamental </w:t>
      </w:r>
      <w:r w:rsidR="00474DC7" w:rsidRPr="00D83D40">
        <w:rPr>
          <w:rFonts w:asciiTheme="majorHAnsi" w:hAnsiTheme="majorHAnsi"/>
          <w:i/>
          <w:iCs/>
          <w:sz w:val="24"/>
          <w:szCs w:val="24"/>
        </w:rPr>
        <w:t>school facilities like the computer lab. And library</w:t>
      </w:r>
      <w:r w:rsidR="005B3D40" w:rsidRPr="00D83D40">
        <w:rPr>
          <w:rFonts w:asciiTheme="majorHAnsi" w:hAnsiTheme="majorHAnsi"/>
          <w:i/>
          <w:iCs/>
          <w:sz w:val="24"/>
          <w:szCs w:val="24"/>
        </w:rPr>
        <w:t>-</w:t>
      </w:r>
      <w:r w:rsidR="00332EAA" w:rsidRPr="00D83D40">
        <w:rPr>
          <w:rFonts w:asciiTheme="majorHAnsi" w:hAnsiTheme="majorHAnsi"/>
          <w:i/>
          <w:iCs/>
          <w:sz w:val="24"/>
          <w:szCs w:val="24"/>
        </w:rPr>
        <w:t xml:space="preserve"> located in </w:t>
      </w:r>
      <w:r w:rsidR="000F17D0" w:rsidRPr="00D83D40">
        <w:rPr>
          <w:rFonts w:asciiTheme="majorHAnsi" w:hAnsiTheme="majorHAnsi"/>
          <w:i/>
          <w:iCs/>
          <w:sz w:val="24"/>
          <w:szCs w:val="24"/>
        </w:rPr>
        <w:t>the school upper floors</w:t>
      </w:r>
      <w:r w:rsidR="00474DC7" w:rsidRPr="00D83D40">
        <w:rPr>
          <w:rFonts w:asciiTheme="majorHAnsi" w:hAnsiTheme="majorHAnsi"/>
          <w:i/>
          <w:iCs/>
          <w:sz w:val="24"/>
          <w:szCs w:val="24"/>
        </w:rPr>
        <w:t xml:space="preserve">” </w:t>
      </w:r>
      <w:r w:rsidR="00474DC7" w:rsidRPr="00D83D40">
        <w:rPr>
          <w:rFonts w:asciiTheme="majorHAnsi" w:hAnsiTheme="majorHAnsi"/>
          <w:sz w:val="24"/>
          <w:szCs w:val="24"/>
        </w:rPr>
        <w:t xml:space="preserve">as </w:t>
      </w:r>
      <w:r w:rsidR="00D83D40">
        <w:rPr>
          <w:rFonts w:asciiTheme="majorHAnsi" w:hAnsiTheme="majorHAnsi"/>
          <w:sz w:val="24"/>
          <w:szCs w:val="24"/>
        </w:rPr>
        <w:t>the</w:t>
      </w:r>
      <w:r w:rsidR="0022707C" w:rsidRPr="00D83D40">
        <w:rPr>
          <w:rFonts w:asciiTheme="majorHAnsi" w:hAnsiTheme="majorHAnsi"/>
          <w:sz w:val="24"/>
          <w:szCs w:val="24"/>
        </w:rPr>
        <w:t xml:space="preserve"> violation</w:t>
      </w:r>
      <w:r w:rsidR="000F17D0" w:rsidRPr="00D83D40">
        <w:rPr>
          <w:rFonts w:asciiTheme="majorHAnsi" w:hAnsiTheme="majorHAnsi"/>
          <w:sz w:val="24"/>
          <w:szCs w:val="24"/>
        </w:rPr>
        <w:t xml:space="preserve"> that is</w:t>
      </w:r>
      <w:r w:rsidR="0022707C" w:rsidRPr="00D83D40">
        <w:rPr>
          <w:rFonts w:asciiTheme="majorHAnsi" w:hAnsiTheme="majorHAnsi"/>
          <w:sz w:val="24"/>
          <w:szCs w:val="24"/>
        </w:rPr>
        <w:t xml:space="preserve"> in need for quick intervention.</w:t>
      </w:r>
      <w:r w:rsidR="00B259BE" w:rsidRPr="00D83D40">
        <w:rPr>
          <w:rFonts w:asciiTheme="majorHAnsi" w:hAnsiTheme="majorHAnsi"/>
          <w:sz w:val="24"/>
          <w:szCs w:val="24"/>
        </w:rPr>
        <w:t xml:space="preserve"> </w:t>
      </w:r>
      <w:r w:rsidR="00AF3B25" w:rsidRPr="00D83D40">
        <w:rPr>
          <w:rFonts w:asciiTheme="majorHAnsi" w:hAnsiTheme="majorHAnsi" w:cstheme="majorBidi"/>
          <w:sz w:val="24"/>
          <w:szCs w:val="24"/>
          <w:lang w:val="en-GB"/>
        </w:rPr>
        <w:t>Following a</w:t>
      </w:r>
      <w:r w:rsidR="00D93513" w:rsidRPr="00D83D40">
        <w:rPr>
          <w:rFonts w:asciiTheme="majorHAnsi" w:hAnsiTheme="majorHAnsi" w:cstheme="majorBidi"/>
          <w:sz w:val="24"/>
          <w:szCs w:val="24"/>
          <w:lang w:val="en-GB"/>
        </w:rPr>
        <w:t xml:space="preserve"> deep analysis of the violation</w:t>
      </w:r>
      <w:r w:rsidR="00FF55B7">
        <w:rPr>
          <w:rFonts w:asciiTheme="majorHAnsi" w:hAnsiTheme="majorHAnsi" w:cstheme="majorBidi"/>
          <w:sz w:val="24"/>
          <w:szCs w:val="24"/>
          <w:lang w:val="en-GB"/>
        </w:rPr>
        <w:t xml:space="preserve">, identifying </w:t>
      </w:r>
      <w:r w:rsidR="00AF3B25" w:rsidRPr="00D83D40">
        <w:rPr>
          <w:rFonts w:asciiTheme="majorHAnsi" w:hAnsiTheme="majorHAnsi" w:cstheme="majorBidi"/>
          <w:sz w:val="24"/>
          <w:szCs w:val="24"/>
          <w:lang w:val="en-GB"/>
        </w:rPr>
        <w:t>its causes and implications, defining duty-bearers and right-holders and linking it with</w:t>
      </w:r>
      <w:r w:rsidR="00FF55B7">
        <w:rPr>
          <w:rFonts w:asciiTheme="majorHAnsi" w:hAnsiTheme="majorHAnsi" w:cstheme="majorBidi"/>
          <w:sz w:val="24"/>
          <w:szCs w:val="24"/>
          <w:lang w:val="en-GB"/>
        </w:rPr>
        <w:t xml:space="preserve"> certain provisions under</w:t>
      </w:r>
      <w:r w:rsidR="00AF3B25" w:rsidRPr="00D83D40">
        <w:rPr>
          <w:rFonts w:asciiTheme="majorHAnsi" w:hAnsiTheme="majorHAnsi" w:cstheme="majorBidi"/>
          <w:sz w:val="24"/>
          <w:szCs w:val="24"/>
          <w:lang w:val="en-GB"/>
        </w:rPr>
        <w:t xml:space="preserve"> the Convention on the Rights of Persons with Disabilities, students met to discuss the various possible alternatives for this violation from the perspective of IHRL and decide on the most realistic one based on available resources.</w:t>
      </w:r>
      <w:r w:rsidR="00AF3B25" w:rsidRPr="00176D8B">
        <w:rPr>
          <w:rFonts w:asciiTheme="majorHAnsi" w:hAnsiTheme="majorHAnsi" w:cstheme="majorBidi"/>
          <w:sz w:val="28"/>
          <w:szCs w:val="28"/>
          <w:lang w:val="en-GB"/>
        </w:rPr>
        <w:t xml:space="preserve"> </w:t>
      </w:r>
      <w:r w:rsidR="0022707C">
        <w:rPr>
          <w:rFonts w:asciiTheme="majorHAnsi" w:hAnsiTheme="majorHAnsi"/>
          <w:sz w:val="24"/>
          <w:szCs w:val="24"/>
        </w:rPr>
        <w:t xml:space="preserve"> </w:t>
      </w:r>
      <w:r w:rsidR="00FF55B7">
        <w:rPr>
          <w:rFonts w:asciiTheme="majorHAnsi" w:hAnsiTheme="majorHAnsi"/>
          <w:sz w:val="24"/>
          <w:szCs w:val="24"/>
        </w:rPr>
        <w:t>S</w:t>
      </w:r>
      <w:r w:rsidR="0022707C">
        <w:rPr>
          <w:rFonts w:asciiTheme="majorHAnsi" w:hAnsiTheme="majorHAnsi"/>
          <w:sz w:val="24"/>
          <w:szCs w:val="24"/>
        </w:rPr>
        <w:t>tudents discussed</w:t>
      </w:r>
      <w:r w:rsidR="00FF55B7">
        <w:rPr>
          <w:rFonts w:asciiTheme="majorHAnsi" w:hAnsiTheme="majorHAnsi"/>
          <w:sz w:val="24"/>
          <w:szCs w:val="24"/>
        </w:rPr>
        <w:t xml:space="preserve"> then</w:t>
      </w:r>
      <w:r w:rsidR="0022707C">
        <w:rPr>
          <w:rFonts w:asciiTheme="majorHAnsi" w:hAnsiTheme="majorHAnsi"/>
          <w:sz w:val="24"/>
          <w:szCs w:val="24"/>
        </w:rPr>
        <w:t xml:space="preserve"> the advantages and disadvantages of several alternatives </w:t>
      </w:r>
      <w:r w:rsidR="00B259BE">
        <w:rPr>
          <w:rFonts w:asciiTheme="majorHAnsi" w:hAnsiTheme="majorHAnsi"/>
          <w:sz w:val="24"/>
          <w:szCs w:val="24"/>
        </w:rPr>
        <w:t xml:space="preserve">to the aforementioned violation. This discussion was accompanied by an analysis of the public policies and </w:t>
      </w:r>
      <w:r w:rsidR="00FF55B7">
        <w:rPr>
          <w:rFonts w:asciiTheme="majorHAnsi" w:hAnsiTheme="majorHAnsi"/>
          <w:sz w:val="24"/>
          <w:szCs w:val="24"/>
        </w:rPr>
        <w:t>structures</w:t>
      </w:r>
      <w:r w:rsidR="00B259BE">
        <w:rPr>
          <w:rFonts w:asciiTheme="majorHAnsi" w:hAnsiTheme="majorHAnsi"/>
          <w:sz w:val="24"/>
          <w:szCs w:val="24"/>
        </w:rPr>
        <w:t xml:space="preserve"> related to the rights of persons with disabilities. </w:t>
      </w:r>
      <w:r w:rsidR="0022707C">
        <w:rPr>
          <w:rFonts w:asciiTheme="majorHAnsi" w:hAnsiTheme="majorHAnsi"/>
          <w:sz w:val="24"/>
          <w:szCs w:val="24"/>
        </w:rPr>
        <w:t xml:space="preserve"> </w:t>
      </w:r>
      <w:r w:rsidR="00B259BE">
        <w:rPr>
          <w:rFonts w:asciiTheme="majorHAnsi" w:hAnsiTheme="majorHAnsi"/>
          <w:sz w:val="24"/>
          <w:szCs w:val="24"/>
        </w:rPr>
        <w:t>Students</w:t>
      </w:r>
      <w:r w:rsidR="0022707C">
        <w:rPr>
          <w:rFonts w:asciiTheme="majorHAnsi" w:hAnsiTheme="majorHAnsi"/>
          <w:sz w:val="24"/>
          <w:szCs w:val="24"/>
        </w:rPr>
        <w:t xml:space="preserve"> finally decided the “Construction of an elevator” as a solution for that violation. </w:t>
      </w:r>
      <w:r w:rsidR="00B259BE">
        <w:rPr>
          <w:rFonts w:asciiTheme="majorHAnsi" w:hAnsiTheme="majorHAnsi"/>
          <w:sz w:val="24"/>
          <w:szCs w:val="24"/>
        </w:rPr>
        <w:t xml:space="preserve">As part of the relevant action plan, students met with the heads of the education and rehabilitation divisions of the UNRWA. The effort made by students </w:t>
      </w:r>
      <w:r w:rsidR="00701634">
        <w:rPr>
          <w:rFonts w:asciiTheme="majorHAnsi" w:hAnsiTheme="majorHAnsi"/>
          <w:sz w:val="24"/>
          <w:szCs w:val="24"/>
        </w:rPr>
        <w:t>yielded</w:t>
      </w:r>
      <w:r w:rsidR="00B259BE">
        <w:rPr>
          <w:rFonts w:asciiTheme="majorHAnsi" w:hAnsiTheme="majorHAnsi"/>
          <w:sz w:val="24"/>
          <w:szCs w:val="24"/>
        </w:rPr>
        <w:t xml:space="preserve"> the adoption of their idea by </w:t>
      </w:r>
      <w:r w:rsidR="000173A2">
        <w:rPr>
          <w:rFonts w:asciiTheme="majorHAnsi" w:hAnsiTheme="majorHAnsi"/>
          <w:sz w:val="24"/>
          <w:szCs w:val="24"/>
        </w:rPr>
        <w:t xml:space="preserve">the administrative bodies of UNRWA. </w:t>
      </w:r>
      <w:r w:rsidR="00701634">
        <w:rPr>
          <w:rFonts w:asciiTheme="majorHAnsi" w:hAnsiTheme="majorHAnsi"/>
          <w:sz w:val="24"/>
          <w:szCs w:val="24"/>
        </w:rPr>
        <w:t xml:space="preserve"> The construction of the elevator was commenced during 2012, but for problems related to the funding amounts, the latest stages of the elevator project were postponed till 2014. It’s expected that the construction will be completed during the months of May and June of this year “2014”.  The elevator will mainly benefit girls with disabilities at the target school. </w:t>
      </w:r>
      <w:r w:rsidR="00CC4631">
        <w:rPr>
          <w:rFonts w:asciiTheme="majorHAnsi" w:hAnsiTheme="majorHAnsi"/>
          <w:sz w:val="24"/>
          <w:szCs w:val="24"/>
        </w:rPr>
        <w:t xml:space="preserve"> The number of girls with disabilities at that school varies from a year to another, but it remains within the range 8-12 each year. </w:t>
      </w:r>
    </w:p>
    <w:p w:rsidR="00BF3EB1" w:rsidRPr="00BF3EB1" w:rsidRDefault="00BF3EB1" w:rsidP="004F4230">
      <w:pPr>
        <w:jc w:val="lowKashida"/>
        <w:rPr>
          <w:rFonts w:asciiTheme="majorHAnsi" w:hAnsiTheme="majorHAnsi"/>
          <w:sz w:val="24"/>
          <w:szCs w:val="24"/>
          <w:lang w:val="en-GB"/>
        </w:rPr>
      </w:pPr>
    </w:p>
    <w:p w:rsidR="00084369" w:rsidRPr="00800546" w:rsidRDefault="00084369" w:rsidP="00800546"/>
    <w:sectPr w:rsidR="00084369" w:rsidRPr="00800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369"/>
    <w:rsid w:val="000173A2"/>
    <w:rsid w:val="00084369"/>
    <w:rsid w:val="00094142"/>
    <w:rsid w:val="000F17D0"/>
    <w:rsid w:val="0022707C"/>
    <w:rsid w:val="002C12BD"/>
    <w:rsid w:val="00332EAA"/>
    <w:rsid w:val="00445A34"/>
    <w:rsid w:val="00474DC7"/>
    <w:rsid w:val="004C3D95"/>
    <w:rsid w:val="004D57BF"/>
    <w:rsid w:val="004F4230"/>
    <w:rsid w:val="00585B77"/>
    <w:rsid w:val="005B3D40"/>
    <w:rsid w:val="006F2E3A"/>
    <w:rsid w:val="00701634"/>
    <w:rsid w:val="007C336F"/>
    <w:rsid w:val="00800546"/>
    <w:rsid w:val="00910AE8"/>
    <w:rsid w:val="00AF33E4"/>
    <w:rsid w:val="00AF3B25"/>
    <w:rsid w:val="00B259BE"/>
    <w:rsid w:val="00B279D1"/>
    <w:rsid w:val="00BA7520"/>
    <w:rsid w:val="00BF3EB1"/>
    <w:rsid w:val="00C82A0B"/>
    <w:rsid w:val="00CC4631"/>
    <w:rsid w:val="00D44881"/>
    <w:rsid w:val="00D83D40"/>
    <w:rsid w:val="00D93513"/>
    <w:rsid w:val="00E04FEF"/>
    <w:rsid w:val="00F3358E"/>
    <w:rsid w:val="00F5045B"/>
    <w:rsid w:val="00FF55B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43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4369"/>
  </w:style>
  <w:style w:type="character" w:styleId="Hyperlink">
    <w:name w:val="Hyperlink"/>
    <w:basedOn w:val="DefaultParagraphFont"/>
    <w:uiPriority w:val="99"/>
    <w:semiHidden/>
    <w:unhideWhenUsed/>
    <w:rsid w:val="00084369"/>
    <w:rPr>
      <w:color w:val="0000FF"/>
      <w:u w:val="single"/>
    </w:rPr>
  </w:style>
  <w:style w:type="character" w:styleId="FollowedHyperlink">
    <w:name w:val="FollowedHyperlink"/>
    <w:basedOn w:val="DefaultParagraphFont"/>
    <w:uiPriority w:val="99"/>
    <w:semiHidden/>
    <w:unhideWhenUsed/>
    <w:rsid w:val="00800546"/>
    <w:rPr>
      <w:color w:val="800080" w:themeColor="followedHyperlink"/>
      <w:u w:val="single"/>
    </w:rPr>
  </w:style>
  <w:style w:type="paragraph" w:styleId="BalloonText">
    <w:name w:val="Balloon Text"/>
    <w:basedOn w:val="Normal"/>
    <w:link w:val="BalloonTextChar"/>
    <w:uiPriority w:val="99"/>
    <w:semiHidden/>
    <w:unhideWhenUsed/>
    <w:rsid w:val="00BA75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75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843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4369"/>
  </w:style>
  <w:style w:type="character" w:styleId="Hyperlink">
    <w:name w:val="Hyperlink"/>
    <w:basedOn w:val="DefaultParagraphFont"/>
    <w:uiPriority w:val="99"/>
    <w:semiHidden/>
    <w:unhideWhenUsed/>
    <w:rsid w:val="00084369"/>
    <w:rPr>
      <w:color w:val="0000FF"/>
      <w:u w:val="single"/>
    </w:rPr>
  </w:style>
  <w:style w:type="character" w:styleId="FollowedHyperlink">
    <w:name w:val="FollowedHyperlink"/>
    <w:basedOn w:val="DefaultParagraphFont"/>
    <w:uiPriority w:val="99"/>
    <w:semiHidden/>
    <w:unhideWhenUsed/>
    <w:rsid w:val="00800546"/>
    <w:rPr>
      <w:color w:val="800080" w:themeColor="followedHyperlink"/>
      <w:u w:val="single"/>
    </w:rPr>
  </w:style>
  <w:style w:type="paragraph" w:styleId="BalloonText">
    <w:name w:val="Balloon Text"/>
    <w:basedOn w:val="Normal"/>
    <w:link w:val="BalloonTextChar"/>
    <w:uiPriority w:val="99"/>
    <w:semiHidden/>
    <w:unhideWhenUsed/>
    <w:rsid w:val="00BA75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75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47670">
      <w:bodyDiv w:val="1"/>
      <w:marLeft w:val="0"/>
      <w:marRight w:val="0"/>
      <w:marTop w:val="0"/>
      <w:marBottom w:val="0"/>
      <w:divBdr>
        <w:top w:val="none" w:sz="0" w:space="0" w:color="auto"/>
        <w:left w:val="none" w:sz="0" w:space="0" w:color="auto"/>
        <w:bottom w:val="none" w:sz="0" w:space="0" w:color="auto"/>
        <w:right w:val="none" w:sz="0" w:space="0" w:color="auto"/>
      </w:divBdr>
    </w:div>
    <w:div w:id="1371539921">
      <w:bodyDiv w:val="1"/>
      <w:marLeft w:val="0"/>
      <w:marRight w:val="0"/>
      <w:marTop w:val="0"/>
      <w:marBottom w:val="0"/>
      <w:divBdr>
        <w:top w:val="none" w:sz="0" w:space="0" w:color="auto"/>
        <w:left w:val="none" w:sz="0" w:space="0" w:color="auto"/>
        <w:bottom w:val="none" w:sz="0" w:space="0" w:color="auto"/>
        <w:right w:val="none" w:sz="0" w:space="0" w:color="auto"/>
      </w:divBdr>
    </w:div>
    <w:div w:id="182177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556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movie</dc:creator>
  <cp:lastModifiedBy>movie</cp:lastModifiedBy>
  <cp:revision>10</cp:revision>
  <dcterms:created xsi:type="dcterms:W3CDTF">2014-04-16T11:40:00Z</dcterms:created>
  <dcterms:modified xsi:type="dcterms:W3CDTF">2015-08-27T11:27:00Z</dcterms:modified>
</cp:coreProperties>
</file>